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lang w:val="ro-RO"/>
        </w:rPr>
      </w:pPr>
      <w:r>
        <w:rPr>
          <w:lang w:val="ro-RO"/>
        </w:rPr>
        <w:t xml:space="preserve">ANEXA </w:t>
      </w:r>
    </w:p>
    <w:p>
      <w:pPr>
        <w:jc w:val="center"/>
        <w:rPr>
          <w:lang w:val="ro-RO"/>
        </w:rPr>
      </w:pPr>
      <w:r>
        <w:rPr>
          <w:lang w:val="ro-RO"/>
        </w:rPr>
        <w:t>Proiect de Hotărâre privind regimul incompatibilităților și conflictului de interese aplicabile membrilor organelor de conducere și control ale Colegiului Psihologilor din România</w:t>
      </w:r>
    </w:p>
    <w:p>
      <w:pPr>
        <w:jc w:val="center"/>
        <w:rPr>
          <w:lang w:val="ro-RO"/>
        </w:rPr>
      </w:pPr>
    </w:p>
    <w:p>
      <w:pPr>
        <w:jc w:val="center"/>
        <w:rPr>
          <w:lang w:val="ro-RO"/>
        </w:rPr>
      </w:pPr>
      <w:r>
        <w:rPr>
          <w:lang w:val="ro-RO"/>
        </w:rPr>
        <w:t>CADRU GENERAL</w:t>
      </w:r>
    </w:p>
    <w:p>
      <w:pPr>
        <w:jc w:val="both"/>
        <w:rPr>
          <w:lang w:val="ro-RO"/>
        </w:rPr>
      </w:pPr>
    </w:p>
    <w:p>
      <w:pPr>
        <w:jc w:val="both"/>
        <w:rPr>
          <w:lang w:val="ro-RO"/>
        </w:rPr>
      </w:pPr>
      <w:r>
        <w:rPr>
          <w:lang w:val="ro-RO"/>
        </w:rPr>
        <w:t>Art.1. Integritatea</w:t>
      </w:r>
      <w:r>
        <w:rPr>
          <w:spacing w:val="-6"/>
          <w:lang w:val="ro-RO"/>
        </w:rPr>
        <w:t xml:space="preserve"> </w:t>
      </w:r>
      <w:r>
        <w:rPr>
          <w:lang w:val="ro-RO"/>
        </w:rPr>
        <w:t>membrilor</w:t>
      </w:r>
      <w:r>
        <w:rPr>
          <w:spacing w:val="-5"/>
          <w:lang w:val="ro-RO"/>
        </w:rPr>
        <w:t xml:space="preserve"> </w:t>
      </w:r>
      <w:r>
        <w:rPr>
          <w:lang w:val="ro-RO"/>
        </w:rPr>
        <w:t>organelor de conducere și control ale Colegiului Psihologilor din România (CPR) este esențială pentru desfășurarea activității Colegiului Psihologilor din România.</w:t>
      </w:r>
    </w:p>
    <w:p>
      <w:pPr>
        <w:jc w:val="both"/>
        <w:rPr>
          <w:lang w:val="ro-RO"/>
        </w:rPr>
      </w:pPr>
    </w:p>
    <w:p>
      <w:pPr>
        <w:jc w:val="both"/>
        <w:rPr>
          <w:lang w:val="ro-RO"/>
        </w:rPr>
      </w:pPr>
      <w:r>
        <w:rPr>
          <w:lang w:val="ro-RO"/>
        </w:rPr>
        <w:t>Art.2. Prezenta hotărâre se aplică: (i) președintelui CPR; (ii) membrilor comisiilor din cadrul Comitetului director al CPR; (iii) președinților filialelor teritoriale ale CPR.</w:t>
      </w:r>
    </w:p>
    <w:p>
      <w:pPr>
        <w:jc w:val="both"/>
        <w:rPr>
          <w:lang w:val="ro-RO"/>
        </w:rPr>
      </w:pPr>
    </w:p>
    <w:p>
      <w:pPr>
        <w:jc w:val="both"/>
        <w:rPr>
          <w:lang w:val="ro-RO"/>
        </w:rPr>
      </w:pPr>
      <w:r>
        <w:rPr>
          <w:lang w:val="ro-RO"/>
        </w:rPr>
        <w:t xml:space="preserve">Art.3. Membrii menționați la art. 2 trebuie să evite </w:t>
      </w:r>
      <w:r>
        <w:rPr>
          <w:spacing w:val="-12"/>
          <w:lang w:val="ro-RO"/>
        </w:rPr>
        <w:t xml:space="preserve"> </w:t>
      </w:r>
      <w:r>
        <w:rPr>
          <w:lang w:val="ro-RO"/>
        </w:rPr>
        <w:t>situațiile</w:t>
      </w:r>
      <w:r>
        <w:rPr>
          <w:spacing w:val="-13"/>
          <w:lang w:val="ro-RO"/>
        </w:rPr>
        <w:t xml:space="preserve"> </w:t>
      </w:r>
      <w:r>
        <w:rPr>
          <w:lang w:val="ro-RO"/>
        </w:rPr>
        <w:t>de</w:t>
      </w:r>
      <w:r>
        <w:rPr>
          <w:spacing w:val="-12"/>
          <w:lang w:val="ro-RO"/>
        </w:rPr>
        <w:t xml:space="preserve"> </w:t>
      </w:r>
      <w:r>
        <w:rPr>
          <w:lang w:val="ro-RO"/>
        </w:rPr>
        <w:t>incompatibilitate și</w:t>
      </w:r>
      <w:r>
        <w:rPr>
          <w:spacing w:val="-13"/>
          <w:lang w:val="ro-RO"/>
        </w:rPr>
        <w:t xml:space="preserve"> </w:t>
      </w:r>
      <w:r>
        <w:rPr>
          <w:lang w:val="ro-RO"/>
        </w:rPr>
        <w:t>de</w:t>
      </w:r>
      <w:r>
        <w:rPr>
          <w:spacing w:val="-13"/>
          <w:lang w:val="ro-RO"/>
        </w:rPr>
        <w:t xml:space="preserve"> </w:t>
      </w:r>
      <w:r>
        <w:rPr>
          <w:lang w:val="ro-RO"/>
        </w:rPr>
        <w:t xml:space="preserve">conflict </w:t>
      </w:r>
      <w:r>
        <w:rPr>
          <w:spacing w:val="-57"/>
          <w:lang w:val="ro-RO"/>
        </w:rPr>
        <w:t xml:space="preserve"> </w:t>
      </w:r>
      <w:r>
        <w:rPr>
          <w:lang w:val="ro-RO"/>
        </w:rPr>
        <w:t>de interese. Diferența între incompatibilitate şi conflict de interese, așa cum sunt ele definite</w:t>
      </w:r>
      <w:r>
        <w:rPr>
          <w:spacing w:val="-9"/>
          <w:lang w:val="ro-RO"/>
        </w:rPr>
        <w:t xml:space="preserve"> </w:t>
      </w:r>
      <w:r>
        <w:rPr>
          <w:lang w:val="ro-RO"/>
        </w:rPr>
        <w:t>şi</w:t>
      </w:r>
      <w:r>
        <w:rPr>
          <w:spacing w:val="-7"/>
          <w:lang w:val="ro-RO"/>
        </w:rPr>
        <w:t xml:space="preserve"> </w:t>
      </w:r>
      <w:r>
        <w:rPr>
          <w:lang w:val="ro-RO"/>
        </w:rPr>
        <w:t>înțelese</w:t>
      </w:r>
      <w:r>
        <w:rPr>
          <w:spacing w:val="-10"/>
          <w:lang w:val="ro-RO"/>
        </w:rPr>
        <w:t xml:space="preserve"> </w:t>
      </w:r>
      <w:r>
        <w:rPr>
          <w:lang w:val="ro-RO"/>
        </w:rPr>
        <w:t>în</w:t>
      </w:r>
      <w:r>
        <w:rPr>
          <w:spacing w:val="-7"/>
          <w:lang w:val="ro-RO"/>
        </w:rPr>
        <w:t xml:space="preserve"> </w:t>
      </w:r>
      <w:r>
        <w:rPr>
          <w:lang w:val="ro-RO"/>
        </w:rPr>
        <w:t>prezenta</w:t>
      </w:r>
      <w:r>
        <w:rPr>
          <w:spacing w:val="-7"/>
          <w:lang w:val="ro-RO"/>
        </w:rPr>
        <w:t xml:space="preserve"> </w:t>
      </w:r>
      <w:r>
        <w:rPr>
          <w:lang w:val="ro-RO"/>
        </w:rPr>
        <w:t>hotărâre:</w:t>
      </w:r>
      <w:r>
        <w:rPr>
          <w:spacing w:val="-8"/>
          <w:lang w:val="ro-RO"/>
        </w:rPr>
        <w:t xml:space="preserve"> </w:t>
      </w:r>
      <w:r>
        <w:rPr>
          <w:lang w:val="ro-RO"/>
        </w:rPr>
        <w:t>un</w:t>
      </w:r>
      <w:r>
        <w:rPr>
          <w:spacing w:val="-8"/>
          <w:lang w:val="ro-RO"/>
        </w:rPr>
        <w:t xml:space="preserve"> </w:t>
      </w:r>
      <w:r>
        <w:rPr>
          <w:lang w:val="ro-RO"/>
        </w:rPr>
        <w:t>conflict</w:t>
      </w:r>
      <w:r>
        <w:rPr>
          <w:spacing w:val="-7"/>
          <w:lang w:val="ro-RO"/>
        </w:rPr>
        <w:t xml:space="preserve"> </w:t>
      </w:r>
      <w:r>
        <w:rPr>
          <w:lang w:val="ro-RO"/>
        </w:rPr>
        <w:t>de</w:t>
      </w:r>
      <w:r>
        <w:rPr>
          <w:spacing w:val="-7"/>
          <w:lang w:val="ro-RO"/>
        </w:rPr>
        <w:t xml:space="preserve"> </w:t>
      </w:r>
      <w:r>
        <w:rPr>
          <w:lang w:val="ro-RO"/>
        </w:rPr>
        <w:t>interese</w:t>
      </w:r>
      <w:r>
        <w:rPr>
          <w:spacing w:val="-8"/>
          <w:lang w:val="ro-RO"/>
        </w:rPr>
        <w:t xml:space="preserve"> </w:t>
      </w:r>
      <w:r>
        <w:rPr>
          <w:lang w:val="ro-RO"/>
        </w:rPr>
        <w:t>poate</w:t>
      </w:r>
      <w:r>
        <w:rPr>
          <w:spacing w:val="-9"/>
          <w:lang w:val="ro-RO"/>
        </w:rPr>
        <w:t xml:space="preserve"> </w:t>
      </w:r>
      <w:r>
        <w:rPr>
          <w:lang w:val="ro-RO"/>
        </w:rPr>
        <w:t>exista</w:t>
      </w:r>
      <w:r>
        <w:rPr>
          <w:spacing w:val="-9"/>
          <w:lang w:val="ro-RO"/>
        </w:rPr>
        <w:t xml:space="preserve"> </w:t>
      </w:r>
      <w:r>
        <w:rPr>
          <w:lang w:val="ro-RO"/>
        </w:rPr>
        <w:t>atunci</w:t>
      </w:r>
      <w:r>
        <w:rPr>
          <w:spacing w:val="-9"/>
          <w:lang w:val="ro-RO"/>
        </w:rPr>
        <w:t xml:space="preserve"> </w:t>
      </w:r>
      <w:r>
        <w:rPr>
          <w:lang w:val="ro-RO"/>
        </w:rPr>
        <w:t>când</w:t>
      </w:r>
      <w:r>
        <w:rPr>
          <w:spacing w:val="-8"/>
          <w:lang w:val="ro-RO"/>
        </w:rPr>
        <w:t xml:space="preserve"> </w:t>
      </w:r>
      <w:r>
        <w:rPr>
          <w:lang w:val="ro-RO"/>
        </w:rPr>
        <w:t>un</w:t>
      </w:r>
      <w:r>
        <w:rPr>
          <w:spacing w:val="-8"/>
          <w:lang w:val="ro-RO"/>
        </w:rPr>
        <w:t xml:space="preserve"> </w:t>
      </w:r>
      <w:r>
        <w:rPr>
          <w:lang w:val="ro-RO"/>
        </w:rPr>
        <w:t>membru</w:t>
      </w:r>
      <w:r>
        <w:rPr>
          <w:spacing w:val="-58"/>
          <w:lang w:val="ro-RO"/>
        </w:rPr>
        <w:t xml:space="preserve">  </w:t>
      </w:r>
      <w:r>
        <w:rPr>
          <w:lang w:val="ro-RO"/>
        </w:rPr>
        <w:t xml:space="preserve"> este pus în situația de a lua o decizie care să influențeze un interes personal, în</w:t>
      </w:r>
      <w:r>
        <w:rPr>
          <w:spacing w:val="1"/>
          <w:lang w:val="ro-RO"/>
        </w:rPr>
        <w:t xml:space="preserve"> </w:t>
      </w:r>
      <w:r>
        <w:rPr>
          <w:lang w:val="ro-RO"/>
        </w:rPr>
        <w:t>timp</w:t>
      </w:r>
      <w:r>
        <w:rPr>
          <w:spacing w:val="-4"/>
          <w:lang w:val="ro-RO"/>
        </w:rPr>
        <w:t xml:space="preserve"> </w:t>
      </w:r>
      <w:r>
        <w:rPr>
          <w:lang w:val="ro-RO"/>
        </w:rPr>
        <w:t>ce,</w:t>
      </w:r>
      <w:r>
        <w:rPr>
          <w:spacing w:val="-4"/>
          <w:lang w:val="ro-RO"/>
        </w:rPr>
        <w:t xml:space="preserve"> </w:t>
      </w:r>
      <w:r>
        <w:rPr>
          <w:lang w:val="ro-RO"/>
        </w:rPr>
        <w:t>pentru</w:t>
      </w:r>
      <w:r>
        <w:rPr>
          <w:spacing w:val="-4"/>
          <w:lang w:val="ro-RO"/>
        </w:rPr>
        <w:t xml:space="preserve"> </w:t>
      </w:r>
      <w:r>
        <w:rPr>
          <w:lang w:val="ro-RO"/>
        </w:rPr>
        <w:t>a</w:t>
      </w:r>
      <w:r>
        <w:rPr>
          <w:spacing w:val="-5"/>
          <w:lang w:val="ro-RO"/>
        </w:rPr>
        <w:t xml:space="preserve"> </w:t>
      </w:r>
      <w:r>
        <w:rPr>
          <w:lang w:val="ro-RO"/>
        </w:rPr>
        <w:t>se</w:t>
      </w:r>
      <w:r>
        <w:rPr>
          <w:spacing w:val="-5"/>
          <w:lang w:val="ro-RO"/>
        </w:rPr>
        <w:t xml:space="preserve"> </w:t>
      </w:r>
      <w:r>
        <w:rPr>
          <w:lang w:val="ro-RO"/>
        </w:rPr>
        <w:t>afla</w:t>
      </w:r>
      <w:r>
        <w:rPr>
          <w:spacing w:val="-6"/>
          <w:lang w:val="ro-RO"/>
        </w:rPr>
        <w:t xml:space="preserve"> </w:t>
      </w:r>
      <w:r>
        <w:rPr>
          <w:lang w:val="ro-RO"/>
        </w:rPr>
        <w:t>într-o</w:t>
      </w:r>
      <w:r>
        <w:rPr>
          <w:spacing w:val="-4"/>
          <w:lang w:val="ro-RO"/>
        </w:rPr>
        <w:t xml:space="preserve"> </w:t>
      </w:r>
      <w:r>
        <w:rPr>
          <w:lang w:val="ro-RO"/>
        </w:rPr>
        <w:t>situație</w:t>
      </w:r>
      <w:r>
        <w:rPr>
          <w:spacing w:val="-5"/>
          <w:lang w:val="ro-RO"/>
        </w:rPr>
        <w:t xml:space="preserve"> </w:t>
      </w:r>
      <w:r>
        <w:rPr>
          <w:lang w:val="ro-RO"/>
        </w:rPr>
        <w:t>de</w:t>
      </w:r>
      <w:r>
        <w:rPr>
          <w:spacing w:val="-5"/>
          <w:lang w:val="ro-RO"/>
        </w:rPr>
        <w:t xml:space="preserve"> </w:t>
      </w:r>
      <w:r>
        <w:rPr>
          <w:rFonts w:cstheme="minorHAnsi"/>
          <w:lang w:val="ro-RO"/>
        </w:rPr>
        <w:t>incompatibilitate,</w:t>
      </w:r>
      <w:r>
        <w:rPr>
          <w:rFonts w:cstheme="minorHAnsi"/>
          <w:spacing w:val="-4"/>
          <w:lang w:val="ro-RO"/>
        </w:rPr>
        <w:t xml:space="preserve"> </w:t>
      </w:r>
      <w:r>
        <w:rPr>
          <w:rFonts w:cstheme="minorHAnsi"/>
          <w:lang w:val="ro-RO"/>
        </w:rPr>
        <w:t>un</w:t>
      </w:r>
      <w:r>
        <w:rPr>
          <w:rFonts w:cstheme="minorHAnsi"/>
          <w:spacing w:val="-6"/>
          <w:lang w:val="ro-RO"/>
        </w:rPr>
        <w:t xml:space="preserve"> </w:t>
      </w:r>
      <w:r>
        <w:rPr>
          <w:rFonts w:cstheme="minorHAnsi"/>
          <w:lang w:val="ro-RO"/>
        </w:rPr>
        <w:t>membru</w:t>
      </w:r>
      <w:r>
        <w:rPr>
          <w:rFonts w:cstheme="minorHAnsi"/>
          <w:spacing w:val="-4"/>
          <w:lang w:val="ro-RO"/>
        </w:rPr>
        <w:t xml:space="preserve"> </w:t>
      </w:r>
      <w:r>
        <w:rPr>
          <w:rFonts w:cstheme="minorHAnsi"/>
          <w:lang w:val="ro-RO"/>
        </w:rPr>
        <w:t xml:space="preserve">nu </w:t>
      </w:r>
      <w:r>
        <w:rPr>
          <w:rFonts w:cstheme="minorHAnsi"/>
          <w:spacing w:val="-1"/>
          <w:lang w:val="ro-RO"/>
        </w:rPr>
        <w:t>trebuie</w:t>
      </w:r>
      <w:r>
        <w:rPr>
          <w:rFonts w:cstheme="minorHAnsi"/>
          <w:spacing w:val="-15"/>
          <w:lang w:val="ro-RO"/>
        </w:rPr>
        <w:t xml:space="preserve"> </w:t>
      </w:r>
      <w:r>
        <w:rPr>
          <w:rFonts w:cstheme="minorHAnsi"/>
          <w:spacing w:val="-1"/>
          <w:lang w:val="ro-RO"/>
        </w:rPr>
        <w:t>să</w:t>
      </w:r>
      <w:r>
        <w:rPr>
          <w:rFonts w:cstheme="minorHAnsi"/>
          <w:spacing w:val="-16"/>
          <w:lang w:val="ro-RO"/>
        </w:rPr>
        <w:t xml:space="preserve"> </w:t>
      </w:r>
      <w:r>
        <w:rPr>
          <w:rFonts w:cstheme="minorHAnsi"/>
          <w:spacing w:val="-1"/>
          <w:lang w:val="ro-RO"/>
        </w:rPr>
        <w:t>ia</w:t>
      </w:r>
      <w:r>
        <w:rPr>
          <w:rFonts w:cstheme="minorHAnsi"/>
          <w:spacing w:val="-15"/>
          <w:lang w:val="ro-RO"/>
        </w:rPr>
        <w:t xml:space="preserve"> </w:t>
      </w:r>
      <w:r>
        <w:rPr>
          <w:rFonts w:cstheme="minorHAnsi"/>
          <w:spacing w:val="-1"/>
          <w:lang w:val="ro-RO"/>
        </w:rPr>
        <w:t>vreo</w:t>
      </w:r>
      <w:r>
        <w:rPr>
          <w:rFonts w:cstheme="minorHAnsi"/>
          <w:spacing w:val="-14"/>
          <w:lang w:val="ro-RO"/>
        </w:rPr>
        <w:t xml:space="preserve"> </w:t>
      </w:r>
      <w:r>
        <w:rPr>
          <w:rFonts w:cstheme="minorHAnsi"/>
          <w:lang w:val="ro-RO"/>
        </w:rPr>
        <w:t>decizie,</w:t>
      </w:r>
      <w:r>
        <w:rPr>
          <w:rFonts w:cstheme="minorHAnsi"/>
          <w:spacing w:val="-15"/>
          <w:lang w:val="ro-RO"/>
        </w:rPr>
        <w:t xml:space="preserve"> </w:t>
      </w:r>
      <w:r>
        <w:rPr>
          <w:rFonts w:cstheme="minorHAnsi"/>
          <w:lang w:val="ro-RO"/>
        </w:rPr>
        <w:t>fiind</w:t>
      </w:r>
      <w:r>
        <w:rPr>
          <w:rFonts w:cstheme="minorHAnsi"/>
          <w:spacing w:val="-15"/>
          <w:lang w:val="ro-RO"/>
        </w:rPr>
        <w:t xml:space="preserve"> </w:t>
      </w:r>
      <w:r>
        <w:rPr>
          <w:rFonts w:cstheme="minorHAnsi"/>
          <w:lang w:val="ro-RO"/>
        </w:rPr>
        <w:t>suficient</w:t>
      </w:r>
      <w:r>
        <w:rPr>
          <w:rFonts w:cstheme="minorHAnsi"/>
          <w:spacing w:val="-15"/>
          <w:lang w:val="ro-RO"/>
        </w:rPr>
        <w:t xml:space="preserve"> </w:t>
      </w:r>
      <w:r>
        <w:rPr>
          <w:rFonts w:cstheme="minorHAnsi"/>
          <w:lang w:val="ro-RO"/>
        </w:rPr>
        <w:t>faptul</w:t>
      </w:r>
      <w:r>
        <w:rPr>
          <w:rFonts w:cstheme="minorHAnsi"/>
          <w:spacing w:val="-13"/>
          <w:lang w:val="ro-RO"/>
        </w:rPr>
        <w:t xml:space="preserve"> </w:t>
      </w:r>
      <w:r>
        <w:rPr>
          <w:rFonts w:cstheme="minorHAnsi"/>
          <w:lang w:val="ro-RO"/>
        </w:rPr>
        <w:t>că</w:t>
      </w:r>
      <w:r>
        <w:rPr>
          <w:rFonts w:cstheme="minorHAnsi"/>
          <w:spacing w:val="-16"/>
          <w:lang w:val="ro-RO"/>
        </w:rPr>
        <w:t xml:space="preserve"> persoana: </w:t>
      </w:r>
      <w:r>
        <w:rPr>
          <w:rFonts w:hint="default" w:cstheme="minorHAnsi"/>
          <w:spacing w:val="-16"/>
          <w:lang w:val="ro-RO"/>
        </w:rPr>
        <w:t xml:space="preserve"> </w:t>
      </w:r>
      <w:r>
        <w:rPr>
          <w:rFonts w:cstheme="minorHAnsi"/>
          <w:spacing w:val="-16"/>
          <w:lang w:val="ro-RO"/>
        </w:rPr>
        <w:t xml:space="preserve">(i) </w:t>
      </w:r>
      <w:r>
        <w:rPr>
          <w:spacing w:val="-16"/>
          <w:lang w:val="ro-RO"/>
        </w:rPr>
        <w:t>o</w:t>
      </w:r>
      <w:r>
        <w:rPr>
          <w:lang w:val="ro-RO"/>
        </w:rPr>
        <w:t>cupă</w:t>
      </w:r>
      <w:r>
        <w:rPr>
          <w:spacing w:val="-16"/>
          <w:lang w:val="ro-RO"/>
        </w:rPr>
        <w:t xml:space="preserve"> </w:t>
      </w:r>
      <w:r>
        <w:rPr>
          <w:lang w:val="ro-RO"/>
        </w:rPr>
        <w:t>concomitent</w:t>
      </w:r>
      <w:r>
        <w:rPr>
          <w:spacing w:val="-15"/>
          <w:lang w:val="ro-RO"/>
        </w:rPr>
        <w:t xml:space="preserve"> </w:t>
      </w:r>
      <w:r>
        <w:rPr>
          <w:lang w:val="ro-RO"/>
        </w:rPr>
        <w:t>două</w:t>
      </w:r>
      <w:r>
        <w:rPr>
          <w:spacing w:val="-15"/>
          <w:lang w:val="ro-RO"/>
        </w:rPr>
        <w:t xml:space="preserve"> </w:t>
      </w:r>
      <w:r>
        <w:rPr>
          <w:lang w:val="ro-RO"/>
        </w:rPr>
        <w:t>sau</w:t>
      </w:r>
      <w:r>
        <w:rPr>
          <w:spacing w:val="-15"/>
          <w:lang w:val="ro-RO"/>
        </w:rPr>
        <w:t xml:space="preserve"> </w:t>
      </w:r>
      <w:r>
        <w:rPr>
          <w:lang w:val="ro-RO"/>
        </w:rPr>
        <w:t>mai</w:t>
      </w:r>
      <w:r>
        <w:rPr>
          <w:spacing w:val="-15"/>
          <w:lang w:val="ro-RO"/>
        </w:rPr>
        <w:t xml:space="preserve"> </w:t>
      </w:r>
      <w:r>
        <w:rPr>
          <w:lang w:val="ro-RO"/>
        </w:rPr>
        <w:t>multe</w:t>
      </w:r>
      <w:r>
        <w:rPr>
          <w:spacing w:val="-15"/>
          <w:lang w:val="ro-RO"/>
        </w:rPr>
        <w:t xml:space="preserve"> </w:t>
      </w:r>
      <w:r>
        <w:rPr>
          <w:lang w:val="ro-RO"/>
        </w:rPr>
        <w:t>poziții</w:t>
      </w:r>
      <w:r>
        <w:rPr>
          <w:spacing w:val="-57"/>
          <w:lang w:val="ro-RO"/>
        </w:rPr>
        <w:t>,,</w:t>
      </w:r>
      <w:r>
        <w:rPr>
          <w:b w:val="0"/>
          <w:bCs w:val="0"/>
          <w:lang w:val="ro-RO"/>
        </w:rPr>
        <w:t xml:space="preserve"> </w:t>
      </w:r>
      <w:r>
        <w:rPr>
          <w:lang w:val="ro-RO"/>
        </w:rPr>
        <w:t xml:space="preserve"> al căror cumul este interzis prin Regulamentul de organizare și funcționare internă al CPR; sau (ii) se află într-o situație de incompatibilitate cu exercitarea profesiei de psiholog, conform prevederilor art. 20 și art. 21 din Legea 213/2004 </w:t>
      </w:r>
      <w:r>
        <w:rPr>
          <w:rFonts w:cstheme="minorHAnsi"/>
          <w:u w:val="single"/>
          <w:shd w:val="clear" w:color="auto" w:fill="FFFFFF"/>
          <w:lang w:val="ro-RO"/>
        </w:rPr>
        <w:t>privind exercitarea profesiei de psiholog cu drept de liberă practică, înființarea, organizarea si funcționarea Colegiului Psihologilor din România</w:t>
      </w:r>
      <w:r>
        <w:rPr>
          <w:lang w:val="ro-RO"/>
        </w:rPr>
        <w:t>.</w:t>
      </w:r>
    </w:p>
    <w:p>
      <w:pPr>
        <w:jc w:val="both"/>
        <w:rPr>
          <w:lang w:val="ro-RO"/>
        </w:rPr>
      </w:pPr>
    </w:p>
    <w:p>
      <w:pPr>
        <w:jc w:val="center"/>
        <w:rPr>
          <w:lang w:val="ro-RO"/>
        </w:rPr>
      </w:pPr>
      <w:r>
        <w:rPr>
          <w:lang w:val="ro-RO"/>
        </w:rPr>
        <w:t>REGIMUL INCOMPATIBILITĂȚILOR</w:t>
      </w:r>
    </w:p>
    <w:p>
      <w:pPr>
        <w:jc w:val="both"/>
        <w:rPr>
          <w:lang w:val="ro-RO"/>
        </w:rPr>
      </w:pPr>
    </w:p>
    <w:p>
      <w:pPr>
        <w:jc w:val="both"/>
        <w:rPr>
          <w:lang w:val="ro-RO"/>
        </w:rPr>
      </w:pPr>
      <w:r>
        <w:rPr>
          <w:lang w:val="ro-RO"/>
        </w:rPr>
        <w:t>Art.4. Raportul de incompatibilitate, din perspectiva imposibilității deținerii concomitente a două sau mai multe calități, se manifestă după cum urmează:</w:t>
      </w:r>
    </w:p>
    <w:p>
      <w:pPr>
        <w:pStyle w:val="6"/>
        <w:numPr>
          <w:ilvl w:val="0"/>
          <w:numId w:val="1"/>
        </w:numPr>
        <w:jc w:val="both"/>
        <w:rPr>
          <w:lang w:val="ro-RO"/>
        </w:rPr>
      </w:pPr>
      <w:r>
        <w:rPr>
          <w:lang w:val="ro-RO"/>
        </w:rPr>
        <w:t>președintele CPR nu poate deține concomitent calitatea de membru în cadrul comisiilor Comitetului director al CPR, calitatea de președinte de filială sau calitatea de angajat în structurile administrative ale CPR;</w:t>
      </w:r>
    </w:p>
    <w:p>
      <w:pPr>
        <w:pStyle w:val="6"/>
        <w:numPr>
          <w:ilvl w:val="0"/>
          <w:numId w:val="1"/>
        </w:numPr>
        <w:jc w:val="both"/>
        <w:rPr>
          <w:lang w:val="ro-RO"/>
        </w:rPr>
      </w:pPr>
      <w:r>
        <w:rPr>
          <w:lang w:val="ro-RO"/>
        </w:rPr>
        <w:t>membrii comisiilor Comitetului director al CPR nu pot deține concomitent calitatea de președinte al CPR, calitatea de președinte de filială sau calitatea de angajat în structurile administrative ale CPR;</w:t>
      </w:r>
    </w:p>
    <w:p>
      <w:pPr>
        <w:pStyle w:val="6"/>
        <w:numPr>
          <w:ilvl w:val="0"/>
          <w:numId w:val="1"/>
        </w:numPr>
        <w:jc w:val="both"/>
        <w:rPr>
          <w:lang w:val="ro-RO"/>
        </w:rPr>
      </w:pPr>
      <w:r>
        <w:rPr>
          <w:lang w:val="ro-RO"/>
        </w:rPr>
        <w:t xml:space="preserve">membrii comisiei de Metodologie din cadrul Comitetului </w:t>
      </w:r>
      <w:r>
        <w:rPr>
          <w:rFonts w:cstheme="minorHAnsi"/>
          <w:lang w:val="ro-RO"/>
        </w:rPr>
        <w:t xml:space="preserve">director al CPR sunt incompatibili atât în ceea ce privește calitățile precizate la punctul (ii), cât și cu următoarele poziții sau roluri: calitatea de asociat sau de administrator al unui producător / distribuitor / furnizor de metode și tehnici de evaluare și/sau asistență psihologică/ obține venituri ca drepturi de autor; calitatea de soț / rudă / afin până la gradul IV al unei persoane care are calitatea de asociat sau de administrator al unui producător / distribuitor / furnizor de metode și tehnici de evaluare și/sau asistență psihologică; </w:t>
      </w:r>
    </w:p>
    <w:p>
      <w:pPr>
        <w:pStyle w:val="6"/>
        <w:numPr>
          <w:ilvl w:val="0"/>
          <w:numId w:val="1"/>
        </w:numPr>
        <w:jc w:val="both"/>
        <w:rPr>
          <w:lang w:val="ro-RO"/>
        </w:rPr>
      </w:pPr>
      <w:r>
        <w:rPr>
          <w:lang w:val="ro-RO"/>
        </w:rPr>
        <w:t>președinții de filială nu pot deține concomitent calitatea de membrii în cadrul comisiilor Comitetului director al CPR, calitatea de președinte al CPR sau calitatea de angajat în structurile administrative ale CPR</w:t>
      </w:r>
      <w:r>
        <w:rPr>
          <w:rFonts w:hint="default"/>
          <w:lang w:val="ro-RO"/>
        </w:rPr>
        <w:t>.</w:t>
      </w:r>
      <w:bookmarkStart w:id="3" w:name="_GoBack"/>
      <w:bookmarkEnd w:id="3"/>
    </w:p>
    <w:p>
      <w:pPr>
        <w:jc w:val="both"/>
        <w:rPr>
          <w:lang w:val="ro-RO"/>
        </w:rPr>
      </w:pPr>
    </w:p>
    <w:p>
      <w:pPr>
        <w:jc w:val="both"/>
        <w:rPr>
          <w:lang w:val="ro-RO"/>
        </w:rPr>
      </w:pPr>
      <w:r>
        <w:rPr>
          <w:lang w:val="ro-RO"/>
        </w:rPr>
        <w:t>Art.5. Membrii organelor de conducere ale Colegiului Psihologilor din România, indiferent de poziția ocupată, se află într-o situație de incompatibilitate în următoarele situații:</w:t>
      </w:r>
    </w:p>
    <w:p>
      <w:pPr>
        <w:jc w:val="both"/>
        <w:rPr>
          <w:lang w:val="ro-RO"/>
        </w:rPr>
      </w:pPr>
      <w:r>
        <w:rPr>
          <w:lang w:val="ro-RO"/>
        </w:rPr>
        <w:t xml:space="preserve">În contextul suspendării sau încetării dreptului de liberă practică, în conformitate cu art. 18, respectiv art. 19 din Legea nr. 213 din 2004 </w:t>
      </w:r>
      <w:r>
        <w:rPr>
          <w:rFonts w:cstheme="minorHAnsi"/>
          <w:u w:val="single"/>
          <w:shd w:val="clear" w:color="auto" w:fill="FFFFFF"/>
          <w:lang w:val="ro-RO"/>
        </w:rPr>
        <w:t>privind exercitarea profesiei de psiholog cu drept de liberă practică, înființarea, organizarea si funcționarea Colegiului Psihologilor din România</w:t>
      </w:r>
      <w:r>
        <w:rPr>
          <w:lang w:val="ro-RO"/>
        </w:rPr>
        <w:t>;</w:t>
      </w:r>
    </w:p>
    <w:p>
      <w:pPr>
        <w:jc w:val="both"/>
        <w:rPr>
          <w:lang w:val="ro-RO"/>
        </w:rPr>
      </w:pPr>
      <w:r>
        <w:rPr>
          <w:lang w:val="ro-RO"/>
        </w:rPr>
        <w:t xml:space="preserve">În contextul interdicției sau a incompatibilității generale de a exercita profesia de psiholog, în conformitate cu art. 20, respectiv art. 21 din Legea nr. 213 din 2004 </w:t>
      </w:r>
      <w:r>
        <w:rPr>
          <w:rFonts w:cstheme="minorHAnsi"/>
          <w:u w:val="single"/>
          <w:shd w:val="clear" w:color="auto" w:fill="FFFFFF"/>
          <w:lang w:val="ro-RO"/>
        </w:rPr>
        <w:t>privind exercitarea profesiei de psiholog cu drept de liberă practică, înființarea, organizarea si funcționarea Colegiului Psihologilor din România</w:t>
      </w:r>
      <w:r>
        <w:rPr>
          <w:lang w:val="ro-RO"/>
        </w:rPr>
        <w:t>.</w:t>
      </w:r>
    </w:p>
    <w:p>
      <w:pPr>
        <w:jc w:val="both"/>
        <w:rPr>
          <w:lang w:val="ro-RO"/>
        </w:rPr>
      </w:pPr>
    </w:p>
    <w:p>
      <w:pPr>
        <w:autoSpaceDE w:val="0"/>
        <w:autoSpaceDN w:val="0"/>
        <w:adjustRightInd w:val="0"/>
        <w:jc w:val="both"/>
        <w:rPr>
          <w:rFonts w:cstheme="minorHAnsi"/>
          <w:lang w:val="ro-RO"/>
        </w:rPr>
      </w:pPr>
      <w:r>
        <w:rPr>
          <w:rFonts w:cstheme="minorHAnsi"/>
          <w:lang w:val="ro-RO"/>
        </w:rPr>
        <w:t xml:space="preserve">Art.6. Persoanele care exercită calitatea de membru al forurilor de conducere ale CPR sunt obligate să declare Comitetului director al Colegiului Psihologilor din România, imediat orice modificare apărută în legătură cu situațiile de incompatibilitate. Eventuale cazuri de incompatibilitate ce nu au fost autodeclarate, pot fi semnalate Secretariatului Comitetului director al Colegiului Psihologilor din România, de către oricare membru al CPR. Aceste cazuri vor fi analizate </w:t>
      </w:r>
      <w:r>
        <w:rPr>
          <w:rFonts w:cstheme="minorHAnsi"/>
          <w:color w:val="000000" w:themeColor="text1"/>
          <w:lang w:val="ro-RO"/>
          <w14:textFill>
            <w14:solidFill>
              <w14:schemeClr w14:val="tx1"/>
            </w14:solidFill>
          </w14:textFill>
        </w:rPr>
        <w:t xml:space="preserve">de </w:t>
      </w:r>
      <w:r>
        <w:rPr>
          <w:rFonts w:cstheme="minorHAnsi"/>
          <w:lang w:val="ro-RO"/>
        </w:rPr>
        <w:t xml:space="preserve">către Comitetul director al CPR, </w:t>
      </w:r>
      <w:r>
        <w:rPr>
          <w:rFonts w:cstheme="minorHAnsi"/>
          <w:color w:val="000000" w:themeColor="text1"/>
          <w:lang w:val="ro-RO"/>
          <w14:textFill>
            <w14:solidFill>
              <w14:schemeClr w14:val="tx1"/>
            </w14:solidFill>
          </w14:textFill>
        </w:rPr>
        <w:t xml:space="preserve">în termen de 15 zile de la data comunicării lor. </w:t>
      </w:r>
    </w:p>
    <w:p>
      <w:pPr>
        <w:autoSpaceDE w:val="0"/>
        <w:autoSpaceDN w:val="0"/>
        <w:adjustRightInd w:val="0"/>
        <w:jc w:val="both"/>
        <w:rPr>
          <w:rFonts w:cstheme="minorHAnsi"/>
          <w:lang w:val="ro-RO"/>
        </w:rPr>
      </w:pPr>
    </w:p>
    <w:p>
      <w:pPr>
        <w:jc w:val="both"/>
        <w:rPr>
          <w:rFonts w:cstheme="minorHAnsi"/>
          <w:color w:val="FF0000"/>
          <w:lang w:val="ro-RO"/>
        </w:rPr>
      </w:pPr>
      <w:r>
        <w:rPr>
          <w:rFonts w:cstheme="minorHAnsi"/>
          <w:lang w:val="ro-RO"/>
        </w:rPr>
        <w:t xml:space="preserve">Art.7. Persoana aflată în unul sau mai multe dintre cazurile de incompatibilitate prevăzute la art. 4, are obligația de a opta pentru una dintre calitățile deținute, în termen de 5 zile lucrătoare de la data luării la cunoștință de cazul de incompatibilitate în care se află, făcând dovada demarării procedurii necesare pentru înlăturarea stării de incompatibilitate. </w:t>
      </w:r>
    </w:p>
    <w:p>
      <w:pPr>
        <w:jc w:val="both"/>
        <w:rPr>
          <w:rFonts w:cstheme="minorHAnsi"/>
          <w:lang w:val="ro-RO"/>
        </w:rPr>
      </w:pPr>
    </w:p>
    <w:p>
      <w:pPr>
        <w:jc w:val="both"/>
        <w:rPr>
          <w:rFonts w:cstheme="minorHAnsi"/>
          <w:lang w:val="ro-RO"/>
        </w:rPr>
      </w:pPr>
      <w:r>
        <w:rPr>
          <w:rFonts w:cstheme="minorHAnsi"/>
          <w:lang w:val="ro-RO"/>
        </w:rPr>
        <w:t xml:space="preserve">Art.8. În cazul în care la expirarea termenului </w:t>
      </w:r>
      <w:r>
        <w:rPr>
          <w:rFonts w:cstheme="minorHAnsi"/>
          <w:color w:val="000000" w:themeColor="text1"/>
          <w:lang w:val="ro-RO"/>
          <w14:textFill>
            <w14:solidFill>
              <w14:schemeClr w14:val="tx1"/>
            </w14:solidFill>
          </w14:textFill>
        </w:rPr>
        <w:t xml:space="preserve">de 5 zile lucrătoare, </w:t>
      </w:r>
      <w:r>
        <w:rPr>
          <w:rFonts w:cstheme="minorHAnsi"/>
          <w:lang w:val="ro-RO"/>
        </w:rPr>
        <w:t>membrul aflat într-unul din cazurile de incompatibilitate prevăzut la art. 4, nu face dovada demarării procedurii de înlăturare a stării de incompatilitate, își pierde poziția sau pozițiile ocupate, acestea devenind vacante, în acest sens Comitetul director adoptând o hotărâre de demitere. În temeiul hotărârii Comitetului director, Președintele Colegiului Psihologilor din România sau, în cazul în care vacantarea vizeză funcția de Președinte al Colegiului Psihologilor din România, înlocuitorul de drept al acestuia, emite decizia de demitere, în termen de 2 zile de la data adoptării hotărârii Comitetului director.</w:t>
      </w:r>
    </w:p>
    <w:p>
      <w:pPr>
        <w:jc w:val="both"/>
        <w:rPr>
          <w:rFonts w:cstheme="minorHAnsi"/>
          <w:lang w:val="ro-RO"/>
        </w:rPr>
      </w:pPr>
    </w:p>
    <w:p>
      <w:pPr>
        <w:jc w:val="both"/>
        <w:rPr>
          <w:rFonts w:cstheme="minorHAnsi"/>
          <w:lang w:val="ro-RO"/>
        </w:rPr>
      </w:pPr>
      <w:r>
        <w:rPr>
          <w:rFonts w:cstheme="minorHAnsi"/>
          <w:lang w:val="ro-RO"/>
        </w:rPr>
        <w:t>Art. 9 Aceste posturi vacante vor putea fi ocupate de următorii candidați clasați</w:t>
      </w:r>
      <w:r>
        <w:rPr>
          <w:rFonts w:cstheme="minorHAnsi"/>
          <w:color w:val="000000" w:themeColor="text1"/>
          <w:lang w:val="ro-RO"/>
          <w14:textFill>
            <w14:solidFill>
              <w14:schemeClr w14:val="tx1"/>
            </w14:solidFill>
          </w14:textFill>
        </w:rPr>
        <w:t xml:space="preserve"> conform procesului verbal de validare a rezultatelor alegerilor,</w:t>
      </w:r>
      <w:r>
        <w:rPr>
          <w:rFonts w:cstheme="minorHAnsi"/>
          <w:lang w:val="ro-RO"/>
        </w:rPr>
        <w:t xml:space="preserve"> având în vedere specialitatea și numărul de voturi obținute la alegerile respective. </w:t>
      </w:r>
    </w:p>
    <w:p>
      <w:pPr>
        <w:jc w:val="both"/>
        <w:rPr>
          <w:rFonts w:cstheme="minorHAnsi"/>
          <w:lang w:val="ro-RO"/>
        </w:rPr>
      </w:pPr>
      <w:bookmarkStart w:id="0" w:name="do|caII|sc7|ar72|al1|lib"/>
      <w:bookmarkEnd w:id="0"/>
      <w:bookmarkStart w:id="1" w:name="do|caII|sc7|ar72|al1|lic"/>
      <w:bookmarkEnd w:id="1"/>
      <w:bookmarkStart w:id="2" w:name="do|caII|sc7|ar72|al1|lid"/>
      <w:bookmarkEnd w:id="2"/>
    </w:p>
    <w:p>
      <w:pPr>
        <w:jc w:val="both"/>
        <w:rPr>
          <w:rFonts w:cstheme="minorHAnsi"/>
          <w:lang w:val="ro-RO"/>
        </w:rPr>
      </w:pPr>
      <w:r>
        <w:rPr>
          <w:rFonts w:cstheme="minorHAnsi"/>
          <w:lang w:val="ro-RO"/>
        </w:rPr>
        <w:t>Art.10. Persoana aleasă într-un for de conducere, aflată într-o situație de incompatibilitate conform celor prevăzute la art.5, își pierde poziția sau pozițiile ocupate, acestea devenind vacante, în acest sens Comitetul director adoptând o hotărâre de demitere. În temeiul hotărârii Comitetului director, Președintele Colegiului Psihologilor din România sau, în cazul în care vacantarea vizează funcția de Președinte al Colegiului Psihologilor din România, înlocuitorul de drept al acestuia, emite decizia de demitere, în termen de 2 zile de la data adoptării hotărârii Comitetului director.</w:t>
      </w:r>
    </w:p>
    <w:p>
      <w:pPr>
        <w:jc w:val="both"/>
        <w:rPr>
          <w:rFonts w:cstheme="minorHAnsi"/>
          <w:lang w:val="ro-RO"/>
        </w:rPr>
      </w:pPr>
    </w:p>
    <w:p>
      <w:pPr>
        <w:jc w:val="both"/>
        <w:rPr>
          <w:rFonts w:cstheme="minorHAnsi"/>
          <w:lang w:val="ro-RO"/>
        </w:rPr>
      </w:pPr>
      <w:r>
        <w:rPr>
          <w:rFonts w:cstheme="minorHAnsi"/>
          <w:lang w:val="ro-RO"/>
        </w:rPr>
        <w:t>Art. 11. În situația în care Președintele Colegiului Psihologilor din România nu pune în aplicare hotărârea Comitetului director privind emiterea deciziei de demitere, în conformitate cu dispozițiile art. 8 și art. 10, decizia de demitere va fi emisă de către înlocuitorul de drept al Președintelui.</w:t>
      </w:r>
    </w:p>
    <w:p>
      <w:pPr>
        <w:jc w:val="both"/>
        <w:rPr>
          <w:rFonts w:cstheme="minorHAnsi"/>
          <w:lang w:val="ro-RO"/>
        </w:rPr>
      </w:pPr>
    </w:p>
    <w:p>
      <w:pPr>
        <w:jc w:val="center"/>
        <w:rPr>
          <w:lang w:val="ro-RO"/>
        </w:rPr>
      </w:pPr>
      <w:r>
        <w:rPr>
          <w:lang w:val="ro-RO"/>
        </w:rPr>
        <w:t>REGIMUL CONFLICTELOR DE INTERESE</w:t>
      </w:r>
    </w:p>
    <w:p>
      <w:pPr>
        <w:rPr>
          <w:lang w:val="ro-RO"/>
        </w:rPr>
      </w:pPr>
    </w:p>
    <w:p>
      <w:pPr>
        <w:pStyle w:val="5"/>
        <w:spacing w:before="1"/>
        <w:ind w:right="4"/>
        <w:jc w:val="both"/>
        <w:rPr>
          <w:rFonts w:asciiTheme="minorHAnsi" w:hAnsiTheme="minorHAnsi" w:cstheme="minorHAnsi"/>
        </w:rPr>
      </w:pPr>
      <w:r>
        <w:rPr>
          <w:rFonts w:asciiTheme="minorHAnsi" w:hAnsiTheme="minorHAnsi" w:cstheme="minorHAnsi"/>
          <w:bCs/>
        </w:rPr>
        <w:t>Art. 12.</w:t>
      </w:r>
      <w:r>
        <w:rPr>
          <w:rFonts w:asciiTheme="minorHAnsi" w:hAnsiTheme="minorHAnsi" w:cstheme="minorHAnsi"/>
          <w:b/>
        </w:rPr>
        <w:t xml:space="preserve"> </w:t>
      </w:r>
      <w:r>
        <w:rPr>
          <w:rFonts w:asciiTheme="minorHAnsi" w:hAnsiTheme="minorHAnsi" w:cstheme="minorHAnsi"/>
        </w:rPr>
        <w:t>Conflictul de interese poate să apară din intersectarea mai multor tipuri de relații sau</w:t>
      </w:r>
      <w:r>
        <w:rPr>
          <w:rFonts w:asciiTheme="minorHAnsi" w:hAnsiTheme="minorHAnsi" w:cstheme="minorHAnsi"/>
          <w:spacing w:val="1"/>
        </w:rPr>
        <w:t xml:space="preserve"> </w:t>
      </w:r>
      <w:r>
        <w:rPr>
          <w:rFonts w:asciiTheme="minorHAnsi" w:hAnsiTheme="minorHAnsi" w:cstheme="minorHAnsi"/>
        </w:rPr>
        <w:t>poziții,</w:t>
      </w:r>
      <w:r>
        <w:rPr>
          <w:rFonts w:asciiTheme="minorHAnsi" w:hAnsiTheme="minorHAnsi" w:cstheme="minorHAnsi"/>
          <w:spacing w:val="-10"/>
        </w:rPr>
        <w:t xml:space="preserve"> </w:t>
      </w:r>
      <w:r>
        <w:rPr>
          <w:rFonts w:asciiTheme="minorHAnsi" w:hAnsiTheme="minorHAnsi" w:cstheme="minorHAnsi"/>
        </w:rPr>
        <w:t>de</w:t>
      </w:r>
      <w:r>
        <w:rPr>
          <w:rFonts w:asciiTheme="minorHAnsi" w:hAnsiTheme="minorHAnsi" w:cstheme="minorHAnsi"/>
          <w:spacing w:val="-7"/>
        </w:rPr>
        <w:t xml:space="preserve"> </w:t>
      </w:r>
      <w:r>
        <w:rPr>
          <w:rFonts w:asciiTheme="minorHAnsi" w:hAnsiTheme="minorHAnsi" w:cstheme="minorHAnsi"/>
        </w:rPr>
        <w:t>natură</w:t>
      </w:r>
      <w:r>
        <w:rPr>
          <w:rFonts w:asciiTheme="minorHAnsi" w:hAnsiTheme="minorHAnsi" w:cstheme="minorHAnsi"/>
          <w:spacing w:val="-7"/>
        </w:rPr>
        <w:t xml:space="preserve"> </w:t>
      </w:r>
      <w:r>
        <w:rPr>
          <w:rFonts w:asciiTheme="minorHAnsi" w:hAnsiTheme="minorHAnsi" w:cstheme="minorHAnsi"/>
        </w:rPr>
        <w:t>să</w:t>
      </w:r>
      <w:r>
        <w:rPr>
          <w:rFonts w:asciiTheme="minorHAnsi" w:hAnsiTheme="minorHAnsi" w:cstheme="minorHAnsi"/>
          <w:spacing w:val="-7"/>
        </w:rPr>
        <w:t xml:space="preserve"> </w:t>
      </w:r>
      <w:r>
        <w:rPr>
          <w:rFonts w:asciiTheme="minorHAnsi" w:hAnsiTheme="minorHAnsi" w:cstheme="minorHAnsi"/>
        </w:rPr>
        <w:t>afecteze</w:t>
      </w:r>
      <w:r>
        <w:rPr>
          <w:rFonts w:asciiTheme="minorHAnsi" w:hAnsiTheme="minorHAnsi" w:cstheme="minorHAnsi"/>
          <w:spacing w:val="-7"/>
        </w:rPr>
        <w:t xml:space="preserve"> </w:t>
      </w:r>
      <w:r>
        <w:rPr>
          <w:rFonts w:asciiTheme="minorHAnsi" w:hAnsiTheme="minorHAnsi" w:cstheme="minorHAnsi"/>
        </w:rPr>
        <w:t>judecățile</w:t>
      </w:r>
      <w:r>
        <w:rPr>
          <w:rFonts w:asciiTheme="minorHAnsi" w:hAnsiTheme="minorHAnsi" w:cstheme="minorHAnsi"/>
          <w:spacing w:val="-8"/>
        </w:rPr>
        <w:t xml:space="preserve"> </w:t>
      </w:r>
      <w:r>
        <w:rPr>
          <w:rFonts w:asciiTheme="minorHAnsi" w:hAnsiTheme="minorHAnsi" w:cstheme="minorHAnsi"/>
        </w:rPr>
        <w:t>și</w:t>
      </w:r>
      <w:r>
        <w:rPr>
          <w:rFonts w:asciiTheme="minorHAnsi" w:hAnsiTheme="minorHAnsi" w:cstheme="minorHAnsi"/>
          <w:spacing w:val="-6"/>
        </w:rPr>
        <w:t xml:space="preserve"> </w:t>
      </w:r>
      <w:r>
        <w:rPr>
          <w:rFonts w:asciiTheme="minorHAnsi" w:hAnsiTheme="minorHAnsi" w:cstheme="minorHAnsi"/>
        </w:rPr>
        <w:t>evaluările</w:t>
      </w:r>
      <w:r>
        <w:rPr>
          <w:rFonts w:asciiTheme="minorHAnsi" w:hAnsiTheme="minorHAnsi" w:cstheme="minorHAnsi"/>
          <w:spacing w:val="-7"/>
        </w:rPr>
        <w:t xml:space="preserve"> </w:t>
      </w:r>
      <w:r>
        <w:rPr>
          <w:rFonts w:asciiTheme="minorHAnsi" w:hAnsiTheme="minorHAnsi" w:cstheme="minorHAnsi"/>
        </w:rPr>
        <w:t>corecte</w:t>
      </w:r>
      <w:r>
        <w:rPr>
          <w:rFonts w:asciiTheme="minorHAnsi" w:hAnsiTheme="minorHAnsi" w:cstheme="minorHAnsi"/>
          <w:spacing w:val="-7"/>
        </w:rPr>
        <w:t xml:space="preserve"> </w:t>
      </w:r>
      <w:r>
        <w:rPr>
          <w:rFonts w:asciiTheme="minorHAnsi" w:hAnsiTheme="minorHAnsi" w:cstheme="minorHAnsi"/>
        </w:rPr>
        <w:t>și</w:t>
      </w:r>
      <w:r>
        <w:rPr>
          <w:rFonts w:asciiTheme="minorHAnsi" w:hAnsiTheme="minorHAnsi" w:cstheme="minorHAnsi"/>
          <w:spacing w:val="-7"/>
        </w:rPr>
        <w:t xml:space="preserve"> </w:t>
      </w:r>
      <w:r>
        <w:rPr>
          <w:rFonts w:asciiTheme="minorHAnsi" w:hAnsiTheme="minorHAnsi" w:cstheme="minorHAnsi"/>
        </w:rPr>
        <w:t>acțiunile</w:t>
      </w:r>
      <w:r>
        <w:rPr>
          <w:rFonts w:asciiTheme="minorHAnsi" w:hAnsiTheme="minorHAnsi" w:cstheme="minorHAnsi"/>
          <w:spacing w:val="-7"/>
        </w:rPr>
        <w:t xml:space="preserve"> </w:t>
      </w:r>
      <w:r>
        <w:rPr>
          <w:rFonts w:asciiTheme="minorHAnsi" w:hAnsiTheme="minorHAnsi" w:cstheme="minorHAnsi"/>
        </w:rPr>
        <w:t>membrilor</w:t>
      </w:r>
      <w:r>
        <w:rPr>
          <w:rFonts w:asciiTheme="minorHAnsi" w:hAnsiTheme="minorHAnsi" w:cstheme="minorHAnsi"/>
          <w:spacing w:val="-7"/>
        </w:rPr>
        <w:t xml:space="preserve"> </w:t>
      </w:r>
      <w:r>
        <w:rPr>
          <w:rFonts w:asciiTheme="minorHAnsi" w:hAnsiTheme="minorHAnsi" w:cstheme="minorHAnsi"/>
        </w:rPr>
        <w:t>organelor de conducere ale CPR.</w:t>
      </w:r>
      <w:r>
        <w:rPr>
          <w:rFonts w:asciiTheme="minorHAnsi" w:hAnsiTheme="minorHAnsi" w:cstheme="minorHAnsi"/>
          <w:spacing w:val="-58"/>
        </w:rPr>
        <w:t xml:space="preserve">  </w:t>
      </w:r>
      <w:r>
        <w:rPr>
          <w:rFonts w:asciiTheme="minorHAnsi" w:hAnsiTheme="minorHAnsi" w:cstheme="minorHAnsi"/>
        </w:rPr>
        <w:t xml:space="preserve"> Spre deosebire de regimul incompatibilităților, conflictul de interese se manifestă doar în contextul în care un membru al organelor de conducere și control ale CPR este pus să ia o decizie care ar putea influența îndeplinirea cu obiectivitate a atribuțiilor ce-i revin din cauza unor interese personale de natură patrimonială sau non-patrimonială. Conflictul de interese este asociat unor practici precum favoritismul, aplicarea</w:t>
      </w:r>
      <w:r>
        <w:rPr>
          <w:rFonts w:asciiTheme="minorHAnsi" w:hAnsiTheme="minorHAnsi" w:cstheme="minorHAnsi"/>
          <w:spacing w:val="-57"/>
        </w:rPr>
        <w:t xml:space="preserve"> </w:t>
      </w:r>
      <w:r>
        <w:rPr>
          <w:rFonts w:asciiTheme="minorHAnsi" w:hAnsiTheme="minorHAnsi" w:cstheme="minorHAnsi"/>
        </w:rPr>
        <w:t>unor standarde duble în apreciere şi evaluare, acte de persecuție sau de răzbunare. Conflictul de interese poate avea la origine relații personale,</w:t>
      </w:r>
      <w:r>
        <w:rPr>
          <w:rFonts w:asciiTheme="minorHAnsi" w:hAnsiTheme="minorHAnsi" w:cstheme="minorHAnsi"/>
          <w:spacing w:val="1"/>
        </w:rPr>
        <w:t xml:space="preserve"> </w:t>
      </w:r>
      <w:r>
        <w:rPr>
          <w:rFonts w:asciiTheme="minorHAnsi" w:hAnsiTheme="minorHAnsi" w:cstheme="minorHAnsi"/>
        </w:rPr>
        <w:t xml:space="preserve">roluri multiple, interese materiale, colaborări sau alte angajamente. </w:t>
      </w:r>
    </w:p>
    <w:p>
      <w:pPr>
        <w:pStyle w:val="5"/>
        <w:spacing w:before="1"/>
        <w:ind w:right="4"/>
        <w:jc w:val="both"/>
        <w:rPr>
          <w:rFonts w:asciiTheme="minorHAnsi" w:hAnsiTheme="minorHAnsi" w:cstheme="minorHAnsi"/>
        </w:rPr>
      </w:pPr>
    </w:p>
    <w:p>
      <w:pPr>
        <w:pStyle w:val="5"/>
        <w:spacing w:before="1"/>
        <w:ind w:right="4"/>
        <w:jc w:val="both"/>
        <w:rPr>
          <w:rFonts w:asciiTheme="minorHAnsi" w:hAnsiTheme="minorHAnsi" w:cstheme="minorHAnsi"/>
        </w:rPr>
      </w:pPr>
    </w:p>
    <w:p>
      <w:pPr>
        <w:pStyle w:val="5"/>
        <w:spacing w:before="1"/>
        <w:ind w:right="4"/>
        <w:jc w:val="both"/>
        <w:rPr>
          <w:rFonts w:asciiTheme="minorHAnsi" w:hAnsiTheme="minorHAnsi" w:cstheme="minorHAnsi"/>
        </w:rPr>
      </w:pPr>
      <w:r>
        <w:rPr>
          <w:rFonts w:asciiTheme="minorHAnsi" w:hAnsiTheme="minorHAnsi" w:cstheme="minorHAnsi"/>
        </w:rPr>
        <w:t xml:space="preserve">Art.13. Conflictul de interese poate să apară în următoarele situații, dar fără a ne limita la acestea: </w:t>
      </w:r>
    </w:p>
    <w:p>
      <w:pPr>
        <w:pStyle w:val="5"/>
        <w:numPr>
          <w:ilvl w:val="0"/>
          <w:numId w:val="2"/>
        </w:numPr>
        <w:spacing w:before="1"/>
        <w:ind w:left="709" w:right="4" w:hanging="425"/>
        <w:jc w:val="both"/>
        <w:rPr>
          <w:rFonts w:asciiTheme="minorHAnsi" w:hAnsiTheme="minorHAnsi" w:cstheme="minorHAnsi"/>
        </w:rPr>
      </w:pPr>
      <w:r>
        <w:rPr>
          <w:rFonts w:asciiTheme="minorHAnsi" w:hAnsiTheme="minorHAnsi" w:cstheme="minorHAnsi"/>
        </w:rPr>
        <w:t xml:space="preserve">analiza și evaluarea unor solicitări în care sunt implicați soț/soție, rude și afini până la gradul IV, inclusiv . </w:t>
      </w:r>
    </w:p>
    <w:p>
      <w:pPr>
        <w:pStyle w:val="5"/>
        <w:numPr>
          <w:ilvl w:val="0"/>
          <w:numId w:val="2"/>
        </w:numPr>
        <w:spacing w:before="1"/>
        <w:ind w:left="709" w:right="4" w:hanging="425"/>
        <w:jc w:val="both"/>
        <w:rPr>
          <w:rFonts w:asciiTheme="minorHAnsi" w:hAnsiTheme="minorHAnsi" w:cstheme="minorHAnsi"/>
        </w:rPr>
      </w:pPr>
      <w:r>
        <w:rPr>
          <w:rFonts w:asciiTheme="minorHAnsi" w:hAnsiTheme="minorHAnsi" w:cstheme="minorHAnsi"/>
        </w:rPr>
        <w:t xml:space="preserve">analiza și evaluarea unor solicitări în care sunt implicate persoane din partea cărora au beneficiat de foloase materiale în ultimii </w:t>
      </w:r>
      <w:r>
        <w:rPr>
          <w:rFonts w:asciiTheme="minorHAnsi" w:hAnsiTheme="minorHAnsi" w:cstheme="minorHAnsi"/>
          <w:color w:val="000000" w:themeColor="text1"/>
          <w14:textFill>
            <w14:solidFill>
              <w14:schemeClr w14:val="tx1"/>
            </w14:solidFill>
          </w14:textFill>
        </w:rPr>
        <w:t xml:space="preserve">3 ani, </w:t>
      </w:r>
      <w:r>
        <w:rPr>
          <w:rFonts w:asciiTheme="minorHAnsi" w:hAnsiTheme="minorHAnsi" w:cstheme="minorHAnsi"/>
        </w:rPr>
        <w:t>indiferent de categoria acestora - parteneri comerciali, angajați.</w:t>
      </w:r>
    </w:p>
    <w:p>
      <w:pPr>
        <w:pStyle w:val="5"/>
        <w:numPr>
          <w:ilvl w:val="0"/>
          <w:numId w:val="2"/>
        </w:numPr>
        <w:spacing w:before="1"/>
        <w:ind w:left="709" w:right="4" w:hanging="425"/>
        <w:jc w:val="both"/>
        <w:rPr>
          <w:rFonts w:asciiTheme="minorHAnsi" w:hAnsiTheme="minorHAnsi" w:cstheme="minorHAnsi"/>
        </w:rPr>
      </w:pPr>
      <w:r>
        <w:rPr>
          <w:rFonts w:asciiTheme="minorHAnsi" w:hAnsiTheme="minorHAnsi" w:cstheme="minorHAnsi"/>
        </w:rPr>
        <w:t>analiza și evaluarea unor solicitări în care sunt implicate asociații sau alte persoane juridice din care fac parte.</w:t>
      </w:r>
    </w:p>
    <w:p>
      <w:pPr>
        <w:pStyle w:val="5"/>
        <w:numPr>
          <w:ilvl w:val="0"/>
          <w:numId w:val="2"/>
        </w:numPr>
        <w:spacing w:before="1"/>
        <w:ind w:left="709" w:right="4" w:hanging="425"/>
        <w:jc w:val="both"/>
        <w:rPr>
          <w:rFonts w:asciiTheme="minorHAnsi" w:hAnsiTheme="minorHAnsi" w:cstheme="minorHAnsi"/>
        </w:rPr>
      </w:pPr>
      <w:r>
        <w:rPr>
          <w:rFonts w:asciiTheme="minorHAnsi" w:hAnsiTheme="minorHAnsi" w:cstheme="minorHAnsi"/>
        </w:rPr>
        <w:t>analiza si evaluarea solicitărilor din partea persoanelor supervizate.</w:t>
      </w:r>
    </w:p>
    <w:p>
      <w:pPr>
        <w:pStyle w:val="5"/>
        <w:spacing w:before="1"/>
        <w:ind w:right="4"/>
        <w:jc w:val="both"/>
        <w:rPr>
          <w:rFonts w:asciiTheme="minorHAnsi" w:hAnsiTheme="minorHAnsi" w:cstheme="minorHAnsi"/>
        </w:rPr>
      </w:pPr>
    </w:p>
    <w:p>
      <w:pPr>
        <w:pStyle w:val="5"/>
        <w:spacing w:before="1"/>
        <w:ind w:right="4"/>
        <w:jc w:val="both"/>
        <w:rPr>
          <w:rFonts w:asciiTheme="minorHAnsi" w:hAnsiTheme="minorHAnsi" w:cstheme="minorHAnsi"/>
        </w:rPr>
      </w:pPr>
      <w:r>
        <w:rPr>
          <w:rFonts w:asciiTheme="minorHAnsi" w:hAnsiTheme="minorHAnsi" w:cstheme="minorHAnsi"/>
        </w:rPr>
        <w:t xml:space="preserve">Art.14. Membrii forurilor de conducere au obligația de a se recuza / abține de la orice decizie ce intră sub incidența aspectelor prevăzute la art.11. </w:t>
      </w:r>
    </w:p>
    <w:p>
      <w:pPr>
        <w:pStyle w:val="5"/>
        <w:spacing w:before="1"/>
        <w:ind w:right="4"/>
        <w:jc w:val="both"/>
        <w:rPr>
          <w:rFonts w:asciiTheme="minorHAnsi" w:hAnsiTheme="minorHAnsi" w:cstheme="minorHAnsi"/>
        </w:rPr>
      </w:pPr>
    </w:p>
    <w:p>
      <w:pPr>
        <w:pStyle w:val="5"/>
        <w:spacing w:before="1"/>
        <w:ind w:right="4"/>
        <w:jc w:val="both"/>
        <w:rPr>
          <w:rFonts w:asciiTheme="minorHAnsi" w:hAnsiTheme="minorHAnsi" w:cstheme="minorHAnsi"/>
        </w:rPr>
      </w:pPr>
      <w:r>
        <w:rPr>
          <w:rFonts w:asciiTheme="minorHAnsi" w:hAnsiTheme="minorHAnsi" w:cstheme="minorHAnsi"/>
        </w:rPr>
        <w:t>Art.15. Situația în care membrii forurilor de conducere nu se recuză / abțin de la orice decizie, prin încălcarea prevederilor art. 11 și 12, constituie abatere disciplinară și se sancționează, în raport cu gravitatea abaterii, potrivit prevederilor actelor normative în vigoare.</w:t>
      </w:r>
    </w:p>
    <w:p>
      <w:pPr>
        <w:pStyle w:val="5"/>
        <w:spacing w:before="1"/>
        <w:ind w:right="4"/>
        <w:jc w:val="both"/>
        <w:rPr>
          <w:rFonts w:asciiTheme="minorHAnsi" w:hAnsiTheme="minorHAnsi" w:cstheme="minorHAnsi"/>
        </w:rPr>
      </w:pPr>
    </w:p>
    <w:p>
      <w:pPr>
        <w:jc w:val="both"/>
        <w:rPr>
          <w:rFonts w:cstheme="minorHAnsi"/>
          <w:lang w:val="ro-RO"/>
        </w:rPr>
      </w:pPr>
      <w:r>
        <w:rPr>
          <w:rFonts w:cstheme="minorHAnsi"/>
          <w:lang w:val="ro-RO"/>
        </w:rPr>
        <w:t xml:space="preserve">Art.16. Persoana aleasă într-un for de conducere are obligația de a depune la Secretariatul Colegiului Psihologilor din România o declarație de interese în termen de 30 de zile calendaristice de la preluarea mandatului. Aceste declarații sunt publice și se consemnează într-un registru special, ținut de către Secretariatul Comitetului director al CPR. Declarațiile vor include persoanele juridice (societăți comerciale, forme de exercitare a profesiei de psiholog cu drept de liberă practică, asociații profesionale etc.) din care persoana în cauză face parte, indiferent de calitatea deținută – asociat, administrator, membru în structura de conducere, angajat, membru, conform Anexei la prezentele Norme. </w:t>
      </w:r>
    </w:p>
    <w:p>
      <w:pPr>
        <w:jc w:val="both"/>
        <w:rPr>
          <w:rFonts w:cstheme="minorHAnsi"/>
          <w:lang w:val="ro-RO"/>
        </w:rPr>
      </w:pPr>
    </w:p>
    <w:p>
      <w:pPr>
        <w:jc w:val="both"/>
        <w:rPr>
          <w:rFonts w:cstheme="minorHAnsi"/>
          <w:lang w:val="ro-RO"/>
        </w:rPr>
      </w:pPr>
      <w:r>
        <w:rPr>
          <w:rFonts w:cstheme="minorHAnsi"/>
          <w:lang w:val="ro-RO"/>
        </w:rPr>
        <w:t>Art.17. Persoanele care exercită calitatea de membru în cadrul forurilor de conducere  ale CPR sunt obligate să declare imediat orice modificare apărută în legătură cu conflictele de interese potențiale prevăzute la art.11. Eventuale cazuri de conflicte de interese ce nu au fost autodeclarate, pot fi semnalate Comitetului director al Colegiului Psihologilor din România, de către oricare membru al CPR. Aceste cazuri vor fi analizate in termen de 15 zile lucrătoare de către Comitetul director al CPR.</w:t>
      </w:r>
    </w:p>
    <w:p>
      <w:pPr>
        <w:pStyle w:val="5"/>
        <w:spacing w:before="1"/>
        <w:ind w:right="4"/>
        <w:jc w:val="both"/>
        <w:rPr>
          <w:rFonts w:asciiTheme="minorHAnsi" w:hAnsiTheme="minorHAnsi" w:cstheme="minorHAnsi"/>
        </w:rPr>
      </w:pPr>
    </w:p>
    <w:p>
      <w:pPr>
        <w:autoSpaceDE w:val="0"/>
        <w:autoSpaceDN w:val="0"/>
        <w:adjustRightInd w:val="0"/>
        <w:jc w:val="both"/>
        <w:rPr>
          <w:rFonts w:cstheme="minorHAnsi"/>
          <w:lang w:val="ro-RO"/>
        </w:rPr>
      </w:pPr>
      <w:r>
        <w:rPr>
          <w:rFonts w:cstheme="minorHAnsi"/>
          <w:lang w:val="ro-RO"/>
        </w:rPr>
        <w:t>Art. 18. Încălcarea obligațiilor stipulate în prezenta hotărâre cu privire la regimul conflictelor de interese constituie abatere disciplinară şi se sancționează, în raport cu gravitatea abaterii, potrivit prevederilor actelor normative în vigoare.</w:t>
      </w:r>
    </w:p>
    <w:p>
      <w:pPr>
        <w:autoSpaceDE w:val="0"/>
        <w:autoSpaceDN w:val="0"/>
        <w:adjustRightInd w:val="0"/>
        <w:jc w:val="both"/>
        <w:rPr>
          <w:rFonts w:cstheme="minorHAnsi"/>
          <w:lang w:val="ro-RO"/>
        </w:rPr>
      </w:pPr>
    </w:p>
    <w:p>
      <w:pPr>
        <w:autoSpaceDE w:val="0"/>
        <w:autoSpaceDN w:val="0"/>
        <w:adjustRightInd w:val="0"/>
        <w:rPr>
          <w:rFonts w:ascii="Times New Roman" w:hAnsi="Times New Roman" w:cs="Times New Roman"/>
          <w:lang w:val="ro-RO"/>
        </w:rPr>
      </w:pPr>
    </w:p>
    <w:p>
      <w:pPr>
        <w:jc w:val="both"/>
        <w:rPr>
          <w:lang w:val="ro-RO"/>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355330"/>
    <w:multiLevelType w:val="multilevel"/>
    <w:tmpl w:val="48355330"/>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D7407E2"/>
    <w:multiLevelType w:val="multilevel"/>
    <w:tmpl w:val="5D7407E2"/>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DC"/>
    <w:rsid w:val="00027740"/>
    <w:rsid w:val="0004294B"/>
    <w:rsid w:val="00092873"/>
    <w:rsid w:val="001000C4"/>
    <w:rsid w:val="00105D87"/>
    <w:rsid w:val="001402E2"/>
    <w:rsid w:val="00142A8F"/>
    <w:rsid w:val="00145E83"/>
    <w:rsid w:val="00153FB9"/>
    <w:rsid w:val="0015730A"/>
    <w:rsid w:val="0017641B"/>
    <w:rsid w:val="00186E11"/>
    <w:rsid w:val="001A127B"/>
    <w:rsid w:val="001B386A"/>
    <w:rsid w:val="001E1AC5"/>
    <w:rsid w:val="001E2410"/>
    <w:rsid w:val="002464A8"/>
    <w:rsid w:val="002A2E60"/>
    <w:rsid w:val="002B7BB1"/>
    <w:rsid w:val="002F1F8F"/>
    <w:rsid w:val="00335BDF"/>
    <w:rsid w:val="00362CCC"/>
    <w:rsid w:val="00364055"/>
    <w:rsid w:val="003A5003"/>
    <w:rsid w:val="003B229A"/>
    <w:rsid w:val="003D33B7"/>
    <w:rsid w:val="003E4806"/>
    <w:rsid w:val="003F00B4"/>
    <w:rsid w:val="00401CCE"/>
    <w:rsid w:val="00403BF2"/>
    <w:rsid w:val="00416E0A"/>
    <w:rsid w:val="0042476D"/>
    <w:rsid w:val="0043324B"/>
    <w:rsid w:val="00457E49"/>
    <w:rsid w:val="00467B1C"/>
    <w:rsid w:val="00497F50"/>
    <w:rsid w:val="004B047B"/>
    <w:rsid w:val="004B2A53"/>
    <w:rsid w:val="004E3AE3"/>
    <w:rsid w:val="005148F5"/>
    <w:rsid w:val="00561AF7"/>
    <w:rsid w:val="005757F2"/>
    <w:rsid w:val="0058671C"/>
    <w:rsid w:val="005A5582"/>
    <w:rsid w:val="005C6660"/>
    <w:rsid w:val="005D7CFD"/>
    <w:rsid w:val="005E2357"/>
    <w:rsid w:val="005E5241"/>
    <w:rsid w:val="006026C1"/>
    <w:rsid w:val="006120E2"/>
    <w:rsid w:val="00622C6B"/>
    <w:rsid w:val="006354A6"/>
    <w:rsid w:val="00682B76"/>
    <w:rsid w:val="006859AB"/>
    <w:rsid w:val="006879FF"/>
    <w:rsid w:val="006B47A2"/>
    <w:rsid w:val="006C37E1"/>
    <w:rsid w:val="006D54D9"/>
    <w:rsid w:val="007006C1"/>
    <w:rsid w:val="00712869"/>
    <w:rsid w:val="00713987"/>
    <w:rsid w:val="007178A5"/>
    <w:rsid w:val="007524E1"/>
    <w:rsid w:val="007526DD"/>
    <w:rsid w:val="00790FCF"/>
    <w:rsid w:val="00791F01"/>
    <w:rsid w:val="007C5F47"/>
    <w:rsid w:val="007D1A2D"/>
    <w:rsid w:val="007E43DC"/>
    <w:rsid w:val="007F6EF4"/>
    <w:rsid w:val="008037DE"/>
    <w:rsid w:val="00822E91"/>
    <w:rsid w:val="00845C84"/>
    <w:rsid w:val="00854C71"/>
    <w:rsid w:val="008A40CB"/>
    <w:rsid w:val="008B43CC"/>
    <w:rsid w:val="008C6FF7"/>
    <w:rsid w:val="008E1072"/>
    <w:rsid w:val="008E1126"/>
    <w:rsid w:val="00912C8D"/>
    <w:rsid w:val="00942D86"/>
    <w:rsid w:val="009618CA"/>
    <w:rsid w:val="0096535A"/>
    <w:rsid w:val="00977C52"/>
    <w:rsid w:val="009966D3"/>
    <w:rsid w:val="009B085F"/>
    <w:rsid w:val="009B50F0"/>
    <w:rsid w:val="009C6877"/>
    <w:rsid w:val="009D255E"/>
    <w:rsid w:val="009E6A26"/>
    <w:rsid w:val="009E7353"/>
    <w:rsid w:val="009F063C"/>
    <w:rsid w:val="00A07309"/>
    <w:rsid w:val="00A13762"/>
    <w:rsid w:val="00A84466"/>
    <w:rsid w:val="00AD5387"/>
    <w:rsid w:val="00AE3E90"/>
    <w:rsid w:val="00AF6C16"/>
    <w:rsid w:val="00B07D31"/>
    <w:rsid w:val="00B10E00"/>
    <w:rsid w:val="00B21ED3"/>
    <w:rsid w:val="00B25903"/>
    <w:rsid w:val="00B36252"/>
    <w:rsid w:val="00B96CE9"/>
    <w:rsid w:val="00BA0085"/>
    <w:rsid w:val="00BE6EFF"/>
    <w:rsid w:val="00C1052D"/>
    <w:rsid w:val="00C13A61"/>
    <w:rsid w:val="00C24828"/>
    <w:rsid w:val="00C32C0B"/>
    <w:rsid w:val="00C4755E"/>
    <w:rsid w:val="00C47588"/>
    <w:rsid w:val="00C504C6"/>
    <w:rsid w:val="00C7566A"/>
    <w:rsid w:val="00D20928"/>
    <w:rsid w:val="00D41E19"/>
    <w:rsid w:val="00D57561"/>
    <w:rsid w:val="00DD688A"/>
    <w:rsid w:val="00E41359"/>
    <w:rsid w:val="00E41D22"/>
    <w:rsid w:val="00E64AC4"/>
    <w:rsid w:val="00EB33A3"/>
    <w:rsid w:val="00EB3453"/>
    <w:rsid w:val="00ED0FD2"/>
    <w:rsid w:val="00EF7C22"/>
    <w:rsid w:val="00F04FC9"/>
    <w:rsid w:val="00F078CA"/>
    <w:rsid w:val="00F46527"/>
    <w:rsid w:val="00F60E52"/>
    <w:rsid w:val="00F70522"/>
    <w:rsid w:val="00F848BA"/>
    <w:rsid w:val="00F925EF"/>
    <w:rsid w:val="00FA7055"/>
    <w:rsid w:val="00FC54A1"/>
    <w:rsid w:val="00FD25E8"/>
    <w:rsid w:val="00FF2155"/>
    <w:rsid w:val="110B7B56"/>
    <w:rsid w:val="756A5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rPr>
      <w:rFonts w:ascii="Segoe UI" w:hAnsi="Segoe UI" w:cs="Segoe UI"/>
      <w:sz w:val="18"/>
      <w:szCs w:val="18"/>
    </w:rPr>
  </w:style>
  <w:style w:type="paragraph" w:styleId="5">
    <w:name w:val="Body Text"/>
    <w:basedOn w:val="1"/>
    <w:link w:val="7"/>
    <w:qFormat/>
    <w:uiPriority w:val="1"/>
    <w:pPr>
      <w:widowControl w:val="0"/>
      <w:autoSpaceDE w:val="0"/>
      <w:autoSpaceDN w:val="0"/>
    </w:pPr>
    <w:rPr>
      <w:rFonts w:ascii="Times New Roman" w:hAnsi="Times New Roman" w:eastAsia="Times New Roman" w:cs="Times New Roman"/>
      <w:lang w:val="ro-RO"/>
    </w:rPr>
  </w:style>
  <w:style w:type="paragraph" w:styleId="6">
    <w:name w:val="List Paragraph"/>
    <w:basedOn w:val="1"/>
    <w:qFormat/>
    <w:uiPriority w:val="34"/>
    <w:pPr>
      <w:ind w:left="720"/>
      <w:contextualSpacing/>
    </w:pPr>
  </w:style>
  <w:style w:type="character" w:customStyle="1" w:styleId="7">
    <w:name w:val="Body Text Char"/>
    <w:basedOn w:val="2"/>
    <w:link w:val="5"/>
    <w:qFormat/>
    <w:uiPriority w:val="1"/>
    <w:rPr>
      <w:rFonts w:ascii="Times New Roman" w:hAnsi="Times New Roman" w:eastAsia="Times New Roman" w:cs="Times New Roman"/>
      <w:lang w:val="ro-RO"/>
    </w:rPr>
  </w:style>
  <w:style w:type="character" w:customStyle="1" w:styleId="8">
    <w:name w:val="Balloon Text Char"/>
    <w:basedOn w:val="2"/>
    <w:link w:val="4"/>
    <w:semiHidden/>
    <w:uiPriority w:val="99"/>
    <w:rPr>
      <w:rFonts w:ascii="Segoe UI" w:hAnsi="Segoe UI" w:cs="Segoe UI"/>
      <w:sz w:val="18"/>
      <w:szCs w:val="18"/>
    </w:rPr>
  </w:style>
  <w:style w:type="paragraph" w:customStyle="1" w:styleId="9">
    <w:name w:val="Revision"/>
    <w:hidden/>
    <w:semiHidden/>
    <w:qFormat/>
    <w:uiPriority w:val="99"/>
    <w:rPr>
      <w:rFonts w:asciiTheme="minorHAnsi" w:hAnsiTheme="minorHAnsi" w:eastAsiaTheme="minorHAnsi" w:cstheme="minorBidi"/>
      <w:sz w:val="24"/>
      <w:szCs w:val="24"/>
      <w:lang w:val="en-US" w:eastAsia="en-US" w:bidi="ar-SA"/>
    </w:rPr>
  </w:style>
  <w:style w:type="character" w:customStyle="1" w:styleId="10">
    <w:name w:val="li"/>
    <w:basedOn w:val="2"/>
    <w:uiPriority w:val="0"/>
  </w:style>
  <w:style w:type="character" w:customStyle="1" w:styleId="11">
    <w:name w:val="tli"/>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1578</Words>
  <Characters>9001</Characters>
  <Lines>75</Lines>
  <Paragraphs>21</Paragraphs>
  <TotalTime>13</TotalTime>
  <ScaleCrop>false</ScaleCrop>
  <LinksUpToDate>false</LinksUpToDate>
  <CharactersWithSpaces>10558</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2022-11-15T20:18:00Z</dcterms:created>
  <dc:creator>Florin Sava</dc:creator>
  <cp:lastModifiedBy>lcpat</cp:lastModifiedBy>
  <cp:lastPrinted>2022-08-24T10:30:00Z</cp:lastPrinted>
  <dcterms:modified xsi:type="dcterms:W3CDTF">2022-12-14T13:00:59Z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2057-11.2.0.11417</vt:lpwstr>
  </property>
  <property fmtid="{D5CDD505-2E9C-101B-9397-08002B2CF9AE}" pid="3" name="ICV">
    <vt:lpwstr>3F0FC9D6C2BA4ADFBF52853E20057F01</vt:lpwstr>
  </property>
</Properties>
</file>